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0499F" w14:textId="31653F44" w:rsidR="00723C4B" w:rsidRDefault="002C74EF" w:rsidP="00723C4B">
      <w:pPr>
        <w:spacing w:line="276" w:lineRule="auto"/>
        <w:ind w:left="720" w:hanging="360"/>
        <w:jc w:val="center"/>
        <w:rPr>
          <w:rFonts w:ascii="Times New Roman" w:hAnsi="Times New Roman" w:cs="Times New Roman"/>
          <w:sz w:val="24"/>
          <w:szCs w:val="24"/>
        </w:rPr>
      </w:pPr>
      <w:r w:rsidRPr="002C74EF">
        <w:rPr>
          <w:rFonts w:ascii="Times New Roman" w:hAnsi="Times New Roman" w:cs="Times New Roman"/>
          <w:sz w:val="24"/>
          <w:szCs w:val="24"/>
        </w:rPr>
        <w:t>Teaching unit 1</w:t>
      </w:r>
      <w:r w:rsidR="00723C4B">
        <w:rPr>
          <w:rFonts w:ascii="Times New Roman" w:hAnsi="Times New Roman" w:cs="Times New Roman"/>
          <w:sz w:val="24"/>
          <w:szCs w:val="24"/>
        </w:rPr>
        <w:t>3</w:t>
      </w:r>
    </w:p>
    <w:p w14:paraId="4DCCD918" w14:textId="77777777" w:rsidR="002C74EF" w:rsidRPr="002C74EF" w:rsidRDefault="002C74EF" w:rsidP="002C74EF">
      <w:pPr>
        <w:spacing w:line="276" w:lineRule="auto"/>
        <w:ind w:left="720" w:hanging="360"/>
        <w:jc w:val="center"/>
        <w:rPr>
          <w:rFonts w:ascii="Times New Roman" w:hAnsi="Times New Roman" w:cs="Times New Roman"/>
          <w:sz w:val="24"/>
          <w:szCs w:val="24"/>
        </w:rPr>
      </w:pPr>
    </w:p>
    <w:p w14:paraId="6B7614FB" w14:textId="71FD66FF" w:rsidR="00282A97" w:rsidRPr="002C74EF" w:rsidRDefault="007550A0" w:rsidP="002C74EF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C74EF">
        <w:rPr>
          <w:rFonts w:ascii="Times New Roman" w:hAnsi="Times New Roman" w:cs="Times New Roman"/>
          <w:sz w:val="24"/>
          <w:szCs w:val="24"/>
        </w:rPr>
        <w:t>Main c</w:t>
      </w:r>
      <w:r w:rsidR="009B41A4" w:rsidRPr="002C74EF">
        <w:rPr>
          <w:rFonts w:ascii="Times New Roman" w:hAnsi="Times New Roman" w:cs="Times New Roman"/>
          <w:sz w:val="24"/>
          <w:szCs w:val="24"/>
        </w:rPr>
        <w:t xml:space="preserve">haracteristics </w:t>
      </w:r>
      <w:r w:rsidR="0016052B" w:rsidRPr="002C74EF">
        <w:rPr>
          <w:rFonts w:ascii="Times New Roman" w:hAnsi="Times New Roman" w:cs="Times New Roman"/>
          <w:sz w:val="24"/>
          <w:szCs w:val="24"/>
        </w:rPr>
        <w:t>that</w:t>
      </w:r>
      <w:r w:rsidR="009B41A4" w:rsidRPr="002C74EF">
        <w:rPr>
          <w:rFonts w:ascii="Times New Roman" w:hAnsi="Times New Roman" w:cs="Times New Roman"/>
          <w:sz w:val="24"/>
          <w:szCs w:val="24"/>
        </w:rPr>
        <w:t xml:space="preserve"> tumor cells need</w:t>
      </w:r>
      <w:r w:rsidR="0016052B" w:rsidRPr="002C74EF">
        <w:rPr>
          <w:rFonts w:ascii="Times New Roman" w:hAnsi="Times New Roman" w:cs="Times New Roman"/>
          <w:sz w:val="24"/>
          <w:szCs w:val="24"/>
        </w:rPr>
        <w:t xml:space="preserve"> to become malignant</w:t>
      </w:r>
      <w:r w:rsidR="000A5D24" w:rsidRPr="002C74EF">
        <w:rPr>
          <w:rFonts w:ascii="Times New Roman" w:hAnsi="Times New Roman" w:cs="Times New Roman"/>
          <w:sz w:val="24"/>
          <w:szCs w:val="24"/>
        </w:rPr>
        <w:t xml:space="preserve"> and survive</w:t>
      </w:r>
      <w:r w:rsidR="0016052B" w:rsidRPr="002C74EF">
        <w:rPr>
          <w:rFonts w:ascii="Times New Roman" w:hAnsi="Times New Roman" w:cs="Times New Roman"/>
          <w:sz w:val="24"/>
          <w:szCs w:val="24"/>
        </w:rPr>
        <w:t>.</w:t>
      </w:r>
    </w:p>
    <w:p w14:paraId="40ADBC3A" w14:textId="1780FE0E" w:rsidR="009B41A4" w:rsidRPr="002C74EF" w:rsidRDefault="00212B1B" w:rsidP="002C74EF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C74EF">
        <w:rPr>
          <w:rFonts w:ascii="Times New Roman" w:hAnsi="Times New Roman" w:cs="Times New Roman"/>
          <w:sz w:val="24"/>
          <w:szCs w:val="24"/>
        </w:rPr>
        <w:t>PI3K-AKT-mTOR signaling</w:t>
      </w:r>
    </w:p>
    <w:p w14:paraId="53E58C7E" w14:textId="58787AA3" w:rsidR="00212B1B" w:rsidRPr="002C74EF" w:rsidRDefault="00EA1033" w:rsidP="002C74EF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C74EF">
        <w:rPr>
          <w:rFonts w:ascii="Times New Roman" w:hAnsi="Times New Roman" w:cs="Times New Roman"/>
          <w:sz w:val="24"/>
          <w:szCs w:val="24"/>
        </w:rPr>
        <w:t>Different mechanisms of HIF-1 activation</w:t>
      </w:r>
    </w:p>
    <w:p w14:paraId="6032E751" w14:textId="4281DBDF" w:rsidR="0060420D" w:rsidRPr="002C74EF" w:rsidRDefault="007519C0" w:rsidP="002C74EF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C74EF">
        <w:rPr>
          <w:rFonts w:ascii="Times New Roman" w:hAnsi="Times New Roman" w:cs="Times New Roman"/>
          <w:sz w:val="24"/>
          <w:szCs w:val="24"/>
        </w:rPr>
        <w:t>Phosphoglycerate dehydrogenase (PHGDH)</w:t>
      </w:r>
      <w:r w:rsidR="00203EBA" w:rsidRPr="002C74EF">
        <w:rPr>
          <w:rFonts w:ascii="Times New Roman" w:hAnsi="Times New Roman" w:cs="Times New Roman"/>
          <w:sz w:val="24"/>
          <w:szCs w:val="24"/>
        </w:rPr>
        <w:t xml:space="preserve"> in mutational deregulation</w:t>
      </w:r>
    </w:p>
    <w:p w14:paraId="1C99F8A7" w14:textId="12E8BFBB" w:rsidR="007519C0" w:rsidRPr="002C74EF" w:rsidRDefault="00FF1B5B" w:rsidP="002C74EF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C74EF">
        <w:rPr>
          <w:rFonts w:ascii="Times New Roman" w:hAnsi="Times New Roman" w:cs="Times New Roman"/>
          <w:sz w:val="24"/>
          <w:szCs w:val="24"/>
        </w:rPr>
        <w:t>Otto Warburg’s hypothesis</w:t>
      </w:r>
    </w:p>
    <w:p w14:paraId="59F43EB0" w14:textId="14A6AD05" w:rsidR="00A9495A" w:rsidRPr="002C74EF" w:rsidRDefault="00120794" w:rsidP="002C74EF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C74EF">
        <w:rPr>
          <w:rFonts w:ascii="Times New Roman" w:hAnsi="Times New Roman" w:cs="Times New Roman"/>
          <w:sz w:val="24"/>
          <w:szCs w:val="24"/>
        </w:rPr>
        <w:t xml:space="preserve">Protein </w:t>
      </w:r>
      <w:r w:rsidR="00446A60" w:rsidRPr="002C74EF">
        <w:rPr>
          <w:rFonts w:ascii="Times New Roman" w:hAnsi="Times New Roman" w:cs="Times New Roman"/>
          <w:sz w:val="24"/>
          <w:szCs w:val="24"/>
        </w:rPr>
        <w:t>b</w:t>
      </w:r>
      <w:r w:rsidRPr="002C74EF">
        <w:rPr>
          <w:rFonts w:ascii="Times New Roman" w:hAnsi="Times New Roman" w:cs="Times New Roman"/>
          <w:sz w:val="24"/>
          <w:szCs w:val="24"/>
        </w:rPr>
        <w:t xml:space="preserve">iosynthesis </w:t>
      </w:r>
    </w:p>
    <w:p w14:paraId="06B89B6A" w14:textId="0AC4AC76" w:rsidR="0044720C" w:rsidRPr="002C74EF" w:rsidRDefault="0044720C" w:rsidP="002C74EF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C74EF">
        <w:rPr>
          <w:rFonts w:ascii="Times New Roman" w:hAnsi="Times New Roman" w:cs="Times New Roman"/>
          <w:sz w:val="24"/>
          <w:szCs w:val="24"/>
        </w:rPr>
        <w:t xml:space="preserve">Fatty acids </w:t>
      </w:r>
      <w:r w:rsidR="007563C9" w:rsidRPr="002C74EF">
        <w:rPr>
          <w:rFonts w:ascii="Times New Roman" w:hAnsi="Times New Roman" w:cs="Times New Roman"/>
          <w:sz w:val="24"/>
          <w:szCs w:val="24"/>
        </w:rPr>
        <w:t>synthesis</w:t>
      </w:r>
    </w:p>
    <w:p w14:paraId="74053CE7" w14:textId="5B6E7A7B" w:rsidR="007563C9" w:rsidRPr="002C74EF" w:rsidRDefault="007563C9" w:rsidP="002C74EF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C74EF">
        <w:rPr>
          <w:rFonts w:ascii="Times New Roman" w:hAnsi="Times New Roman" w:cs="Times New Roman"/>
          <w:sz w:val="24"/>
          <w:szCs w:val="24"/>
        </w:rPr>
        <w:t xml:space="preserve">RNA and DNA </w:t>
      </w:r>
      <w:r w:rsidR="008949C0" w:rsidRPr="002C74EF">
        <w:rPr>
          <w:rFonts w:ascii="Times New Roman" w:hAnsi="Times New Roman" w:cs="Times New Roman"/>
          <w:sz w:val="24"/>
          <w:szCs w:val="24"/>
        </w:rPr>
        <w:t>synthesis</w:t>
      </w:r>
    </w:p>
    <w:p w14:paraId="7ED1E0BD" w14:textId="41FF468C" w:rsidR="008949C0" w:rsidRPr="002C74EF" w:rsidRDefault="008949C0" w:rsidP="002C74EF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C74EF">
        <w:rPr>
          <w:rFonts w:ascii="Times New Roman" w:hAnsi="Times New Roman" w:cs="Times New Roman"/>
          <w:sz w:val="24"/>
          <w:szCs w:val="24"/>
        </w:rPr>
        <w:t>Redox balance</w:t>
      </w:r>
    </w:p>
    <w:p w14:paraId="7E0E3E4F" w14:textId="655E0D35" w:rsidR="008949C0" w:rsidRPr="002C74EF" w:rsidRDefault="00AA02CA" w:rsidP="002C74EF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C74EF">
        <w:rPr>
          <w:rFonts w:ascii="Times New Roman" w:hAnsi="Times New Roman" w:cs="Times New Roman"/>
          <w:sz w:val="24"/>
          <w:szCs w:val="24"/>
        </w:rPr>
        <w:t>Glycolysis targeting therapy</w:t>
      </w:r>
    </w:p>
    <w:p w14:paraId="44DD541A" w14:textId="0D9A50D6" w:rsidR="00AA02CA" w:rsidRPr="002C74EF" w:rsidRDefault="00C051CB" w:rsidP="002C74EF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C74EF">
        <w:rPr>
          <w:rFonts w:ascii="Times New Roman" w:hAnsi="Times New Roman" w:cs="Times New Roman"/>
          <w:sz w:val="24"/>
          <w:szCs w:val="24"/>
        </w:rPr>
        <w:t>Mitochondrial metabolism targeting therap</w:t>
      </w:r>
      <w:r w:rsidR="007F4697" w:rsidRPr="002C74EF">
        <w:rPr>
          <w:rFonts w:ascii="Times New Roman" w:hAnsi="Times New Roman" w:cs="Times New Roman"/>
          <w:sz w:val="24"/>
          <w:szCs w:val="24"/>
        </w:rPr>
        <w:t>y</w:t>
      </w:r>
    </w:p>
    <w:p w14:paraId="300498AE" w14:textId="5FEA0B6B" w:rsidR="006A5482" w:rsidRPr="002C74EF" w:rsidRDefault="00A12635" w:rsidP="002C74EF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C74EF">
        <w:rPr>
          <w:rFonts w:ascii="Times New Roman" w:hAnsi="Times New Roman" w:cs="Times New Roman"/>
          <w:sz w:val="24"/>
          <w:szCs w:val="24"/>
        </w:rPr>
        <w:t xml:space="preserve">Autophagy </w:t>
      </w:r>
      <w:r w:rsidR="001D1A8C" w:rsidRPr="002C74EF">
        <w:rPr>
          <w:rFonts w:ascii="Times New Roman" w:hAnsi="Times New Roman" w:cs="Times New Roman"/>
          <w:sz w:val="24"/>
          <w:szCs w:val="24"/>
        </w:rPr>
        <w:t>and glutaminase inhibitors</w:t>
      </w:r>
    </w:p>
    <w:p w14:paraId="5E6325B8" w14:textId="68E69471" w:rsidR="00C051CB" w:rsidRPr="002C74EF" w:rsidRDefault="007F4697" w:rsidP="002C74EF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C74EF">
        <w:rPr>
          <w:rFonts w:ascii="Times New Roman" w:hAnsi="Times New Roman" w:cs="Times New Roman"/>
          <w:sz w:val="24"/>
          <w:szCs w:val="24"/>
        </w:rPr>
        <w:t>ROS</w:t>
      </w:r>
      <w:r w:rsidR="00572E68" w:rsidRPr="002C74EF">
        <w:rPr>
          <w:rFonts w:ascii="Times New Roman" w:hAnsi="Times New Roman" w:cs="Times New Roman"/>
          <w:sz w:val="24"/>
          <w:szCs w:val="24"/>
        </w:rPr>
        <w:t>/antioxidant capacity targeting</w:t>
      </w:r>
    </w:p>
    <w:p w14:paraId="07D77E60" w14:textId="6F1FF1AE" w:rsidR="00A419C0" w:rsidRPr="002C74EF" w:rsidRDefault="00A419C0" w:rsidP="002C74EF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C74EF">
        <w:rPr>
          <w:rFonts w:ascii="Times New Roman" w:hAnsi="Times New Roman" w:cs="Times New Roman"/>
          <w:sz w:val="24"/>
          <w:szCs w:val="24"/>
        </w:rPr>
        <w:t xml:space="preserve">Use of vitamin C in </w:t>
      </w:r>
      <w:r w:rsidR="00516C76" w:rsidRPr="002C74EF">
        <w:rPr>
          <w:rFonts w:ascii="Times New Roman" w:hAnsi="Times New Roman" w:cs="Times New Roman"/>
          <w:sz w:val="24"/>
          <w:szCs w:val="24"/>
        </w:rPr>
        <w:t>targeting tumor metabolism</w:t>
      </w:r>
    </w:p>
    <w:p w14:paraId="670B2C4F" w14:textId="77777777" w:rsidR="00516C76" w:rsidRPr="002C74EF" w:rsidRDefault="00516C76" w:rsidP="002C74EF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sectPr w:rsidR="00516C76" w:rsidRPr="002C74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C70CD8"/>
    <w:multiLevelType w:val="hybridMultilevel"/>
    <w:tmpl w:val="B9E07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2274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5FB"/>
    <w:rsid w:val="0007402A"/>
    <w:rsid w:val="000A5D24"/>
    <w:rsid w:val="000F75FB"/>
    <w:rsid w:val="001109D8"/>
    <w:rsid w:val="00120794"/>
    <w:rsid w:val="0016052B"/>
    <w:rsid w:val="001D1A8C"/>
    <w:rsid w:val="00203EBA"/>
    <w:rsid w:val="00212B1B"/>
    <w:rsid w:val="00282A97"/>
    <w:rsid w:val="002C74EF"/>
    <w:rsid w:val="00374ED5"/>
    <w:rsid w:val="003941BC"/>
    <w:rsid w:val="00446A60"/>
    <w:rsid w:val="0044720C"/>
    <w:rsid w:val="004A74DC"/>
    <w:rsid w:val="00516C76"/>
    <w:rsid w:val="00572E68"/>
    <w:rsid w:val="005945CB"/>
    <w:rsid w:val="0060420D"/>
    <w:rsid w:val="006A5482"/>
    <w:rsid w:val="007004FF"/>
    <w:rsid w:val="00723C4B"/>
    <w:rsid w:val="007519C0"/>
    <w:rsid w:val="007550A0"/>
    <w:rsid w:val="007563C9"/>
    <w:rsid w:val="00761AE4"/>
    <w:rsid w:val="007F4697"/>
    <w:rsid w:val="008949C0"/>
    <w:rsid w:val="008D68B4"/>
    <w:rsid w:val="00953F5B"/>
    <w:rsid w:val="009B41A4"/>
    <w:rsid w:val="00A12635"/>
    <w:rsid w:val="00A419C0"/>
    <w:rsid w:val="00A9067C"/>
    <w:rsid w:val="00A9495A"/>
    <w:rsid w:val="00A96697"/>
    <w:rsid w:val="00AA02CA"/>
    <w:rsid w:val="00C051CB"/>
    <w:rsid w:val="00E30492"/>
    <w:rsid w:val="00EA1033"/>
    <w:rsid w:val="00FF1B5B"/>
    <w:rsid w:val="00FF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09631"/>
  <w15:chartTrackingRefBased/>
  <w15:docId w15:val="{3A1E148A-3F4D-451A-A4B9-08B5BD139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50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Arsenijevic</dc:creator>
  <cp:keywords/>
  <dc:description/>
  <cp:lastModifiedBy>Ivan Jovanovic</cp:lastModifiedBy>
  <cp:revision>3</cp:revision>
  <dcterms:created xsi:type="dcterms:W3CDTF">2024-03-27T10:20:00Z</dcterms:created>
  <dcterms:modified xsi:type="dcterms:W3CDTF">2025-05-24T10:55:00Z</dcterms:modified>
</cp:coreProperties>
</file>